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3009"/>
        <w:gridCol w:w="6663"/>
        <w:gridCol w:w="2165"/>
      </w:tblGrid>
      <w:tr w:rsidR="00873639" w:rsidTr="00873639">
        <w:trPr>
          <w:trHeight w:val="623"/>
        </w:trPr>
        <w:tc>
          <w:tcPr>
            <w:tcW w:w="13750" w:type="dxa"/>
            <w:gridSpan w:val="4"/>
            <w:tcBorders>
              <w:top w:val="double" w:sz="4" w:space="0" w:color="auto"/>
              <w:left w:val="double" w:sz="4" w:space="0" w:color="auto"/>
              <w:bottom w:val="double" w:sz="4" w:space="0" w:color="auto"/>
              <w:right w:val="double" w:sz="4" w:space="0" w:color="auto"/>
            </w:tcBorders>
            <w:vAlign w:val="center"/>
            <w:hideMark/>
          </w:tcPr>
          <w:p w:rsidR="00873639" w:rsidRDefault="005F7732">
            <w:pPr>
              <w:rPr>
                <w:b/>
                <w:sz w:val="28"/>
                <w:szCs w:val="28"/>
                <w:lang w:val="nl-BE"/>
              </w:rPr>
            </w:pPr>
            <w:r>
              <w:rPr>
                <w:b/>
                <w:sz w:val="28"/>
                <w:szCs w:val="28"/>
                <w:lang w:val="nl-BE"/>
              </w:rPr>
              <w:t>4</w:t>
            </w:r>
            <w:r w:rsidR="002D4768">
              <w:rPr>
                <w:b/>
                <w:sz w:val="28"/>
                <w:szCs w:val="28"/>
                <w:lang w:val="nl-BE"/>
              </w:rPr>
              <w:t>.</w:t>
            </w:r>
            <w:r w:rsidR="00873639">
              <w:rPr>
                <w:b/>
                <w:sz w:val="28"/>
                <w:szCs w:val="28"/>
                <w:lang w:val="nl-BE"/>
              </w:rPr>
              <w:t xml:space="preserve"> Prioriteiten en samenvattende adviezen gekoppeld aan risicoanalyse</w:t>
            </w:r>
          </w:p>
        </w:tc>
      </w:tr>
      <w:tr w:rsidR="00873639" w:rsidTr="00F24649">
        <w:trPr>
          <w:trHeight w:val="4709"/>
        </w:trPr>
        <w:tc>
          <w:tcPr>
            <w:tcW w:w="13750" w:type="dxa"/>
            <w:gridSpan w:val="4"/>
            <w:tcBorders>
              <w:top w:val="double" w:sz="4" w:space="0" w:color="auto"/>
              <w:left w:val="single" w:sz="4" w:space="0" w:color="auto"/>
              <w:bottom w:val="single" w:sz="4" w:space="0" w:color="auto"/>
              <w:right w:val="single" w:sz="4" w:space="0" w:color="auto"/>
            </w:tcBorders>
          </w:tcPr>
          <w:p w:rsidR="00873639" w:rsidRDefault="00873639">
            <w:pPr>
              <w:rPr>
                <w:lang w:val="nl-BE"/>
              </w:rPr>
            </w:pPr>
            <w:r>
              <w:rPr>
                <w:lang w:val="nl-BE"/>
              </w:rPr>
              <w:t xml:space="preserve">Om de school </w:t>
            </w:r>
            <w:r w:rsidR="0079317D">
              <w:rPr>
                <w:lang w:val="nl-BE"/>
              </w:rPr>
              <w:t>brand technisch</w:t>
            </w:r>
            <w:r>
              <w:rPr>
                <w:lang w:val="nl-BE"/>
              </w:rPr>
              <w:t xml:space="preserve"> te verbeteren dienen volgende adviezen in dit verslag (voor verduidelijking zie onder rubriek 3) opgenomen te worden in het Globaal </w:t>
            </w:r>
            <w:r w:rsidR="0079317D">
              <w:rPr>
                <w:lang w:val="nl-BE"/>
              </w:rPr>
              <w:t>Preventieplan</w:t>
            </w:r>
            <w:r>
              <w:rPr>
                <w:lang w:val="nl-BE"/>
              </w:rPr>
              <w:t xml:space="preserve"> en stelselmatig worden weggewerkt.</w:t>
            </w:r>
          </w:p>
          <w:p w:rsidR="00873639" w:rsidRDefault="00873639">
            <w:pPr>
              <w:rPr>
                <w:lang w:val="nl-BE"/>
              </w:rPr>
            </w:pPr>
            <w:r>
              <w:rPr>
                <w:lang w:val="nl-BE"/>
              </w:rPr>
              <w:t>Prioriteit dient gegeven te worden aan verbeterende maatregelen die de evacuatie van de aanwezige personen op een veilige manier kan laten gebeuren.</w:t>
            </w:r>
          </w:p>
          <w:p w:rsidR="005F7732" w:rsidRDefault="005F7732" w:rsidP="00873639">
            <w:pPr>
              <w:rPr>
                <w:lang w:val="nl-BE"/>
              </w:rPr>
            </w:pPr>
          </w:p>
          <w:p w:rsidR="005F7732" w:rsidRDefault="00873639" w:rsidP="005F7732">
            <w:pPr>
              <w:rPr>
                <w:lang w:val="nl-BE"/>
              </w:rPr>
            </w:pPr>
            <w:r w:rsidRPr="00873639">
              <w:rPr>
                <w:lang w:val="nl-BE"/>
              </w:rPr>
              <w:t>Het werkblad voor de risicoanalyse vind je in bijlage</w:t>
            </w:r>
            <w:r w:rsidR="00F43900">
              <w:rPr>
                <w:lang w:val="nl-BE"/>
              </w:rPr>
              <w:t xml:space="preserve"> a</w:t>
            </w:r>
            <w:r w:rsidRPr="00873639">
              <w:rPr>
                <w:lang w:val="nl-BE"/>
              </w:rPr>
              <w:t>.</w:t>
            </w:r>
            <w:r w:rsidR="005F7732">
              <w:rPr>
                <w:lang w:val="nl-BE"/>
              </w:rPr>
              <w:br/>
              <w:t>De risicoanalyse wordt op een bepaalde datum uitgevoerd – zie datum verslag.</w:t>
            </w:r>
            <w:r w:rsidR="005F7732">
              <w:rPr>
                <w:lang w:val="nl-BE"/>
              </w:rPr>
              <w:br/>
              <w:t>Vanaf deze datum begint uw tijdspad te lopen. Indien de voorgestelde beheersmaatregel niet binnen het tijdspad is uitgevoerd, verhoogd de status van het risico (van medium naar hoog, van hoog naar kritisch).</w:t>
            </w:r>
          </w:p>
          <w:p w:rsidR="00873639" w:rsidRDefault="00873639" w:rsidP="00873639">
            <w:pPr>
              <w:rPr>
                <w:lang w:val="nl-BE"/>
              </w:rPr>
            </w:pPr>
            <w:r>
              <w:rPr>
                <w:lang w:val="nl-BE"/>
              </w:rPr>
              <w:br/>
            </w:r>
            <w:r w:rsidRPr="00873639">
              <w:rPr>
                <w:lang w:val="nl-BE"/>
              </w:rPr>
              <w:t xml:space="preserve">Welke cijfergegevens zijn belangrijk om de prioriteiten terug te vinden en het advies correct op te nemen in het GPP: </w:t>
            </w:r>
          </w:p>
          <w:p w:rsidR="00DC017B" w:rsidRDefault="00DC017B" w:rsidP="00873639">
            <w:pPr>
              <w:pStyle w:val="Lijstalinea"/>
              <w:numPr>
                <w:ilvl w:val="0"/>
                <w:numId w:val="2"/>
              </w:numPr>
              <w:rPr>
                <w:lang w:val="nl-BE"/>
              </w:rPr>
            </w:pPr>
            <w:r>
              <w:rPr>
                <w:lang w:val="nl-BE"/>
              </w:rPr>
              <w:t>Het inherent risico</w:t>
            </w:r>
          </w:p>
          <w:p w:rsidR="00DC017B" w:rsidRDefault="00DC017B" w:rsidP="00DC017B">
            <w:pPr>
              <w:pStyle w:val="Lijstalinea"/>
              <w:numPr>
                <w:ilvl w:val="0"/>
                <w:numId w:val="2"/>
              </w:numPr>
              <w:rPr>
                <w:lang w:val="nl-BE"/>
              </w:rPr>
            </w:pPr>
            <w:r>
              <w:rPr>
                <w:lang w:val="nl-BE"/>
              </w:rPr>
              <w:t>Het residueel risico</w:t>
            </w:r>
          </w:p>
          <w:p w:rsidR="00DC017B" w:rsidRDefault="00DC017B" w:rsidP="00DC017B">
            <w:pPr>
              <w:rPr>
                <w:lang w:val="nl-BE"/>
              </w:rPr>
            </w:pPr>
            <w:r>
              <w:rPr>
                <w:lang w:val="nl-BE"/>
              </w:rPr>
              <w:t>Beide cijfers worden vergeleken met de gegevens in de onderstaande tabel en bepalen:</w:t>
            </w:r>
          </w:p>
          <w:p w:rsidR="00DC017B" w:rsidRDefault="00DC017B" w:rsidP="00DC017B">
            <w:pPr>
              <w:pStyle w:val="Lijstalinea"/>
              <w:numPr>
                <w:ilvl w:val="0"/>
                <w:numId w:val="4"/>
              </w:numPr>
              <w:rPr>
                <w:lang w:val="nl-BE"/>
              </w:rPr>
            </w:pPr>
            <w:r>
              <w:rPr>
                <w:lang w:val="nl-BE"/>
              </w:rPr>
              <w:t>D</w:t>
            </w:r>
            <w:r w:rsidRPr="00DC017B">
              <w:rPr>
                <w:lang w:val="nl-BE"/>
              </w:rPr>
              <w:t>e tijdspanne waarin het inherent risico moet worden uitgevoerd</w:t>
            </w:r>
            <w:r>
              <w:rPr>
                <w:lang w:val="nl-BE"/>
              </w:rPr>
              <w:t>;</w:t>
            </w:r>
          </w:p>
          <w:p w:rsidR="00873639" w:rsidRDefault="00DC017B" w:rsidP="005F7732">
            <w:pPr>
              <w:pStyle w:val="Lijstalinea"/>
              <w:numPr>
                <w:ilvl w:val="0"/>
                <w:numId w:val="4"/>
              </w:numPr>
              <w:rPr>
                <w:lang w:val="nl-BE"/>
              </w:rPr>
            </w:pPr>
            <w:r>
              <w:rPr>
                <w:lang w:val="nl-BE"/>
              </w:rPr>
              <w:t>Geeft weer of de voorgestelde maatregel voldoende is (het residueel risico).</w:t>
            </w:r>
            <w:r>
              <w:rPr>
                <w:lang w:val="nl-BE"/>
              </w:rPr>
              <w:br/>
            </w:r>
          </w:p>
        </w:tc>
      </w:tr>
      <w:tr w:rsidR="00844AE3" w:rsidTr="005F7732">
        <w:trPr>
          <w:trHeight w:val="360"/>
        </w:trPr>
        <w:tc>
          <w:tcPr>
            <w:tcW w:w="1913" w:type="dxa"/>
            <w:tcBorders>
              <w:top w:val="nil"/>
              <w:left w:val="single" w:sz="4" w:space="0" w:color="auto"/>
              <w:bottom w:val="nil"/>
              <w:right w:val="single" w:sz="4" w:space="0" w:color="auto"/>
            </w:tcBorders>
          </w:tcPr>
          <w:p w:rsidR="00844AE3" w:rsidRDefault="00844AE3" w:rsidP="00873639">
            <w:pPr>
              <w:rPr>
                <w:lang w:val="nl-BE"/>
              </w:rPr>
            </w:pPr>
          </w:p>
        </w:tc>
        <w:tc>
          <w:tcPr>
            <w:tcW w:w="3009" w:type="dxa"/>
            <w:tcBorders>
              <w:top w:val="single" w:sz="4" w:space="0" w:color="auto"/>
              <w:left w:val="single" w:sz="4" w:space="0" w:color="auto"/>
              <w:bottom w:val="single" w:sz="4" w:space="0" w:color="auto"/>
              <w:right w:val="single" w:sz="4" w:space="0" w:color="auto"/>
            </w:tcBorders>
            <w:vAlign w:val="center"/>
          </w:tcPr>
          <w:p w:rsidR="00844AE3" w:rsidRPr="00844AE3" w:rsidRDefault="00844AE3" w:rsidP="00844AE3">
            <w:pPr>
              <w:jc w:val="center"/>
              <w:rPr>
                <w:b/>
                <w:lang w:val="nl-BE"/>
              </w:rPr>
            </w:pPr>
            <w:r w:rsidRPr="00844AE3">
              <w:rPr>
                <w:b/>
                <w:lang w:val="nl-BE"/>
              </w:rPr>
              <w:t>RISICO</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Pr="00844AE3" w:rsidRDefault="00844AE3" w:rsidP="00844AE3">
            <w:pPr>
              <w:jc w:val="center"/>
              <w:rPr>
                <w:b/>
                <w:lang w:val="nl-BE"/>
              </w:rPr>
            </w:pPr>
            <w:r w:rsidRPr="00844AE3">
              <w:rPr>
                <w:b/>
                <w:lang w:val="nl-BE"/>
              </w:rPr>
              <w:t>Maatregel te nemen in tijd</w:t>
            </w:r>
          </w:p>
        </w:tc>
        <w:tc>
          <w:tcPr>
            <w:tcW w:w="2165" w:type="dxa"/>
            <w:tcBorders>
              <w:top w:val="single" w:sz="4" w:space="0" w:color="auto"/>
              <w:left w:val="single" w:sz="4" w:space="0" w:color="auto"/>
              <w:bottom w:val="nil"/>
              <w:right w:val="single" w:sz="4" w:space="0" w:color="auto"/>
            </w:tcBorders>
          </w:tcPr>
          <w:p w:rsidR="00844AE3" w:rsidRDefault="00844AE3" w:rsidP="00873639">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FF0000"/>
            <w:vAlign w:val="center"/>
          </w:tcPr>
          <w:p w:rsidR="00844AE3" w:rsidRDefault="00844AE3" w:rsidP="00844AE3">
            <w:pPr>
              <w:jc w:val="center"/>
              <w:rPr>
                <w:lang w:val="nl-BE"/>
              </w:rPr>
            </w:pPr>
            <w:r w:rsidRPr="005965BB">
              <w:rPr>
                <w:shd w:val="clear" w:color="auto" w:fill="FF0000"/>
                <w:lang w:val="nl-BE"/>
              </w:rPr>
              <w:t>Kriti</w:t>
            </w:r>
            <w:r>
              <w:rPr>
                <w:lang w:val="nl-BE"/>
              </w:rPr>
              <w:t>sch ˃ 4,5</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844AE3">
            <w:pPr>
              <w:jc w:val="center"/>
              <w:rPr>
                <w:lang w:val="nl-BE"/>
              </w:rPr>
            </w:pPr>
            <w:r>
              <w:rPr>
                <w:lang w:val="nl-BE"/>
              </w:rPr>
              <w:t>Onmiddellijk – maximum 2 weken</w:t>
            </w:r>
          </w:p>
        </w:tc>
        <w:tc>
          <w:tcPr>
            <w:tcW w:w="2165" w:type="dxa"/>
            <w:tcBorders>
              <w:top w:val="nil"/>
              <w:left w:val="single" w:sz="4" w:space="0" w:color="auto"/>
              <w:bottom w:val="nil"/>
              <w:right w:val="single" w:sz="4" w:space="0" w:color="auto"/>
            </w:tcBorders>
          </w:tcPr>
          <w:p w:rsidR="00844AE3" w:rsidRDefault="00844AE3" w:rsidP="00844AE3">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FFC000"/>
            <w:vAlign w:val="center"/>
          </w:tcPr>
          <w:p w:rsidR="00844AE3" w:rsidRDefault="00844AE3" w:rsidP="00844AE3">
            <w:pPr>
              <w:jc w:val="center"/>
              <w:rPr>
                <w:lang w:val="nl-BE"/>
              </w:rPr>
            </w:pPr>
            <w:r>
              <w:rPr>
                <w:lang w:val="nl-BE"/>
              </w:rPr>
              <w:t>Hoog ˃</w:t>
            </w:r>
            <w:r w:rsidR="005965BB">
              <w:rPr>
                <w:lang w:val="nl-BE"/>
              </w:rPr>
              <w:t xml:space="preserve"> 3,5 en ≤ 4,5</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844AE3">
            <w:pPr>
              <w:jc w:val="center"/>
              <w:rPr>
                <w:lang w:val="nl-BE"/>
              </w:rPr>
            </w:pPr>
            <w:r>
              <w:rPr>
                <w:lang w:val="nl-BE"/>
              </w:rPr>
              <w:t>≤ 3 jaar</w:t>
            </w:r>
          </w:p>
        </w:tc>
        <w:tc>
          <w:tcPr>
            <w:tcW w:w="2165" w:type="dxa"/>
            <w:tcBorders>
              <w:top w:val="nil"/>
              <w:left w:val="single" w:sz="4" w:space="0" w:color="auto"/>
              <w:bottom w:val="nil"/>
              <w:right w:val="single" w:sz="4" w:space="0" w:color="auto"/>
            </w:tcBorders>
          </w:tcPr>
          <w:p w:rsidR="00844AE3" w:rsidRDefault="00844AE3" w:rsidP="00844AE3">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FFFF00"/>
            <w:vAlign w:val="center"/>
          </w:tcPr>
          <w:p w:rsidR="00844AE3" w:rsidRDefault="005965BB" w:rsidP="00844AE3">
            <w:pPr>
              <w:jc w:val="center"/>
              <w:rPr>
                <w:lang w:val="nl-BE"/>
              </w:rPr>
            </w:pPr>
            <w:r>
              <w:rPr>
                <w:lang w:val="nl-BE"/>
              </w:rPr>
              <w:t>Medium ˃ 3 en ≤ 3,5</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5965BB">
            <w:pPr>
              <w:jc w:val="center"/>
              <w:rPr>
                <w:lang w:val="nl-BE"/>
              </w:rPr>
            </w:pPr>
            <w:r>
              <w:rPr>
                <w:lang w:val="nl-BE"/>
              </w:rPr>
              <w:t>˃ 3 jaar en ≤ 5jaar</w:t>
            </w:r>
          </w:p>
        </w:tc>
        <w:tc>
          <w:tcPr>
            <w:tcW w:w="2165" w:type="dxa"/>
            <w:tcBorders>
              <w:top w:val="nil"/>
              <w:left w:val="single" w:sz="4" w:space="0" w:color="auto"/>
              <w:bottom w:val="nil"/>
              <w:right w:val="single" w:sz="4" w:space="0" w:color="auto"/>
            </w:tcBorders>
          </w:tcPr>
          <w:p w:rsidR="00844AE3" w:rsidRDefault="00844AE3" w:rsidP="00844AE3">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00B050"/>
            <w:vAlign w:val="center"/>
          </w:tcPr>
          <w:p w:rsidR="00844AE3" w:rsidRDefault="005965BB" w:rsidP="00844AE3">
            <w:pPr>
              <w:jc w:val="center"/>
              <w:rPr>
                <w:lang w:val="nl-BE"/>
              </w:rPr>
            </w:pPr>
            <w:r>
              <w:rPr>
                <w:lang w:val="nl-BE"/>
              </w:rPr>
              <w:t>Aanvaardbaar ≤ 3</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844AE3">
            <w:pPr>
              <w:jc w:val="center"/>
              <w:rPr>
                <w:lang w:val="nl-BE"/>
              </w:rPr>
            </w:pPr>
            <w:r>
              <w:rPr>
                <w:lang w:val="nl-BE"/>
              </w:rPr>
              <w:t>geen</w:t>
            </w:r>
          </w:p>
        </w:tc>
        <w:tc>
          <w:tcPr>
            <w:tcW w:w="2165" w:type="dxa"/>
            <w:tcBorders>
              <w:top w:val="nil"/>
              <w:left w:val="single" w:sz="4" w:space="0" w:color="auto"/>
              <w:bottom w:val="single" w:sz="4" w:space="0" w:color="auto"/>
              <w:right w:val="single" w:sz="4" w:space="0" w:color="auto"/>
            </w:tcBorders>
          </w:tcPr>
          <w:p w:rsidR="00844AE3" w:rsidRDefault="00844AE3" w:rsidP="00844AE3">
            <w:pPr>
              <w:rPr>
                <w:lang w:val="nl-BE"/>
              </w:rPr>
            </w:pPr>
          </w:p>
        </w:tc>
      </w:tr>
      <w:tr w:rsidR="00844AE3" w:rsidTr="00F24649">
        <w:trPr>
          <w:trHeight w:val="158"/>
        </w:trPr>
        <w:tc>
          <w:tcPr>
            <w:tcW w:w="13750" w:type="dxa"/>
            <w:gridSpan w:val="4"/>
            <w:tcBorders>
              <w:top w:val="single" w:sz="4" w:space="0" w:color="auto"/>
              <w:left w:val="single" w:sz="4" w:space="0" w:color="auto"/>
              <w:bottom w:val="single" w:sz="4" w:space="0" w:color="auto"/>
              <w:right w:val="single" w:sz="4" w:space="0" w:color="auto"/>
            </w:tcBorders>
          </w:tcPr>
          <w:p w:rsidR="00844AE3" w:rsidRDefault="00844AE3" w:rsidP="00844AE3">
            <w:pPr>
              <w:rPr>
                <w:lang w:val="nl-BE"/>
              </w:rPr>
            </w:pPr>
          </w:p>
        </w:tc>
      </w:tr>
    </w:tbl>
    <w:p w:rsidR="005965BB" w:rsidRDefault="005965BB" w:rsidP="00F24649">
      <w:pPr>
        <w:rPr>
          <w:lang w:val="nl-BE"/>
        </w:rPr>
      </w:pPr>
      <w:bookmarkStart w:id="0" w:name="_GoBack"/>
      <w:bookmarkEnd w:id="0"/>
    </w:p>
    <w:sectPr w:rsidR="005965BB" w:rsidSect="00F2464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134" w:left="141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17" w:rsidRDefault="00BB0317" w:rsidP="005965BB">
      <w:r>
        <w:separator/>
      </w:r>
    </w:p>
  </w:endnote>
  <w:endnote w:type="continuationSeparator" w:id="0">
    <w:p w:rsidR="00BB0317" w:rsidRDefault="00BB0317" w:rsidP="0059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63550"/>
      <w:docPartObj>
        <w:docPartGallery w:val="Page Numbers (Bottom of Page)"/>
        <w:docPartUnique/>
      </w:docPartObj>
    </w:sdtPr>
    <w:sdtEndPr/>
    <w:sdtContent>
      <w:p w:rsidR="00556BDF" w:rsidRDefault="00556BDF">
        <w:pPr>
          <w:pStyle w:val="Voettekst"/>
          <w:jc w:val="right"/>
        </w:pPr>
      </w:p>
      <w:p w:rsidR="00556BDF" w:rsidRDefault="00556BDF" w:rsidP="00556BDF">
        <w:pPr>
          <w:pStyle w:val="Voettekst"/>
          <w:ind w:right="360"/>
          <w:rPr>
            <w:lang w:val="nl-BE"/>
          </w:rPr>
        </w:pPr>
        <w:r>
          <w:rPr>
            <w:lang w:val="nl-BE"/>
          </w:rPr>
          <w:t>Brandpreventieverslag - PrevAnt</w:t>
        </w:r>
      </w:p>
      <w:p w:rsidR="005965BB" w:rsidRDefault="00556BDF" w:rsidP="00556BDF">
        <w:pPr>
          <w:pStyle w:val="Voettekst"/>
        </w:pPr>
        <w:r>
          <w:tab/>
        </w:r>
        <w:r>
          <w:tab/>
        </w:r>
        <w:r>
          <w:tab/>
        </w:r>
        <w:r>
          <w:tab/>
        </w:r>
        <w:r>
          <w:tab/>
        </w:r>
        <w:r>
          <w:tab/>
        </w:r>
        <w:r>
          <w:tab/>
        </w:r>
        <w:r>
          <w:tab/>
        </w:r>
        <w:r>
          <w:tab/>
        </w:r>
        <w:r w:rsidR="005965BB">
          <w:fldChar w:fldCharType="begin"/>
        </w:r>
        <w:r w:rsidR="005965BB">
          <w:instrText>PAGE   \* MERGEFORMAT</w:instrText>
        </w:r>
        <w:r w:rsidR="005965BB">
          <w:fldChar w:fldCharType="separate"/>
        </w:r>
        <w:r w:rsidR="00F24649">
          <w:rPr>
            <w:noProof/>
          </w:rPr>
          <w:t>20</w:t>
        </w:r>
        <w:r w:rsidR="005965BB">
          <w:fldChar w:fldCharType="end"/>
        </w:r>
      </w:p>
    </w:sdtContent>
  </w:sdt>
  <w:p w:rsidR="005965BB" w:rsidRDefault="005965B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17" w:rsidRDefault="00BB0317" w:rsidP="005965BB">
      <w:r>
        <w:separator/>
      </w:r>
    </w:p>
  </w:footnote>
  <w:footnote w:type="continuationSeparator" w:id="0">
    <w:p w:rsidR="00BB0317" w:rsidRDefault="00BB0317" w:rsidP="0059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39F6"/>
    <w:multiLevelType w:val="hybridMultilevel"/>
    <w:tmpl w:val="B3C2C1F4"/>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
    <w:nsid w:val="3A201DAB"/>
    <w:multiLevelType w:val="hybridMultilevel"/>
    <w:tmpl w:val="A7A039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A8B6B05"/>
    <w:multiLevelType w:val="hybridMultilevel"/>
    <w:tmpl w:val="BC6AB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1778F"/>
    <w:multiLevelType w:val="hybridMultilevel"/>
    <w:tmpl w:val="F056D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39"/>
    <w:rsid w:val="000800C7"/>
    <w:rsid w:val="00140FAD"/>
    <w:rsid w:val="002D4768"/>
    <w:rsid w:val="00516806"/>
    <w:rsid w:val="00556BDF"/>
    <w:rsid w:val="005965BB"/>
    <w:rsid w:val="005C3596"/>
    <w:rsid w:val="005F7732"/>
    <w:rsid w:val="0079317D"/>
    <w:rsid w:val="00844AE3"/>
    <w:rsid w:val="00873639"/>
    <w:rsid w:val="00A22C0A"/>
    <w:rsid w:val="00A654F6"/>
    <w:rsid w:val="00BB0317"/>
    <w:rsid w:val="00C30DE5"/>
    <w:rsid w:val="00D43E49"/>
    <w:rsid w:val="00DC017B"/>
    <w:rsid w:val="00F24649"/>
    <w:rsid w:val="00F43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63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639"/>
    <w:pPr>
      <w:ind w:left="720"/>
      <w:contextualSpacing/>
    </w:pPr>
  </w:style>
  <w:style w:type="paragraph" w:styleId="Koptekst">
    <w:name w:val="header"/>
    <w:basedOn w:val="Standaard"/>
    <w:link w:val="KoptekstChar"/>
    <w:uiPriority w:val="99"/>
    <w:unhideWhenUsed/>
    <w:rsid w:val="005965BB"/>
    <w:pPr>
      <w:tabs>
        <w:tab w:val="center" w:pos="4536"/>
        <w:tab w:val="right" w:pos="9072"/>
      </w:tabs>
    </w:pPr>
  </w:style>
  <w:style w:type="character" w:customStyle="1" w:styleId="KoptekstChar">
    <w:name w:val="Koptekst Char"/>
    <w:basedOn w:val="Standaardalinea-lettertype"/>
    <w:link w:val="Koptekst"/>
    <w:uiPriority w:val="99"/>
    <w:rsid w:val="005965BB"/>
    <w:rPr>
      <w:rFonts w:ascii="Times New Roman" w:eastAsia="Times New Roman" w:hAnsi="Times New Roman" w:cs="Times New Roman"/>
      <w:sz w:val="24"/>
      <w:szCs w:val="24"/>
      <w:lang w:val="nl-NL" w:eastAsia="nl-NL"/>
    </w:rPr>
  </w:style>
  <w:style w:type="paragraph" w:styleId="Voettekst">
    <w:name w:val="footer"/>
    <w:basedOn w:val="Standaard"/>
    <w:link w:val="VoettekstChar"/>
    <w:unhideWhenUsed/>
    <w:rsid w:val="005965BB"/>
    <w:pPr>
      <w:tabs>
        <w:tab w:val="center" w:pos="4536"/>
        <w:tab w:val="right" w:pos="9072"/>
      </w:tabs>
    </w:pPr>
  </w:style>
  <w:style w:type="character" w:customStyle="1" w:styleId="VoettekstChar">
    <w:name w:val="Voettekst Char"/>
    <w:basedOn w:val="Standaardalinea-lettertype"/>
    <w:link w:val="Voettekst"/>
    <w:rsid w:val="005965BB"/>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965BB"/>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5B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63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639"/>
    <w:pPr>
      <w:ind w:left="720"/>
      <w:contextualSpacing/>
    </w:pPr>
  </w:style>
  <w:style w:type="paragraph" w:styleId="Koptekst">
    <w:name w:val="header"/>
    <w:basedOn w:val="Standaard"/>
    <w:link w:val="KoptekstChar"/>
    <w:uiPriority w:val="99"/>
    <w:unhideWhenUsed/>
    <w:rsid w:val="005965BB"/>
    <w:pPr>
      <w:tabs>
        <w:tab w:val="center" w:pos="4536"/>
        <w:tab w:val="right" w:pos="9072"/>
      </w:tabs>
    </w:pPr>
  </w:style>
  <w:style w:type="character" w:customStyle="1" w:styleId="KoptekstChar">
    <w:name w:val="Koptekst Char"/>
    <w:basedOn w:val="Standaardalinea-lettertype"/>
    <w:link w:val="Koptekst"/>
    <w:uiPriority w:val="99"/>
    <w:rsid w:val="005965BB"/>
    <w:rPr>
      <w:rFonts w:ascii="Times New Roman" w:eastAsia="Times New Roman" w:hAnsi="Times New Roman" w:cs="Times New Roman"/>
      <w:sz w:val="24"/>
      <w:szCs w:val="24"/>
      <w:lang w:val="nl-NL" w:eastAsia="nl-NL"/>
    </w:rPr>
  </w:style>
  <w:style w:type="paragraph" w:styleId="Voettekst">
    <w:name w:val="footer"/>
    <w:basedOn w:val="Standaard"/>
    <w:link w:val="VoettekstChar"/>
    <w:unhideWhenUsed/>
    <w:rsid w:val="005965BB"/>
    <w:pPr>
      <w:tabs>
        <w:tab w:val="center" w:pos="4536"/>
        <w:tab w:val="right" w:pos="9072"/>
      </w:tabs>
    </w:pPr>
  </w:style>
  <w:style w:type="character" w:customStyle="1" w:styleId="VoettekstChar">
    <w:name w:val="Voettekst Char"/>
    <w:basedOn w:val="Standaardalinea-lettertype"/>
    <w:link w:val="Voettekst"/>
    <w:rsid w:val="005965BB"/>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965BB"/>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5B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2</cp:revision>
  <dcterms:created xsi:type="dcterms:W3CDTF">2015-02-27T11:54:00Z</dcterms:created>
  <dcterms:modified xsi:type="dcterms:W3CDTF">2015-02-27T11:54:00Z</dcterms:modified>
</cp:coreProperties>
</file>